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15EEB978" w:rsidR="00373B40" w:rsidRDefault="005738D2" w:rsidP="00F34BF0">
      <w:pPr>
        <w:pStyle w:val="Heading1"/>
        <w:widowControl/>
        <w:spacing w:before="0" w:line="240" w:lineRule="auto"/>
        <w:rPr>
          <w:b w:val="0"/>
          <w:szCs w:val="24"/>
        </w:rPr>
      </w:pPr>
      <w:r w:rsidRPr="0CE5AE1F">
        <w:rPr>
          <w:w w:val="101"/>
        </w:rPr>
        <w:t>Nr. </w:t>
      </w:r>
      <w:r w:rsidR="002629C4">
        <w:rPr>
          <w:szCs w:val="24"/>
        </w:rPr>
        <w:t>RN-2024</w:t>
      </w:r>
      <w:r w:rsidR="002629C4" w:rsidRPr="0008201E">
        <w:rPr>
          <w:b w:val="0"/>
          <w:bCs/>
          <w:szCs w:val="24"/>
        </w:rPr>
        <w:t>-</w:t>
      </w:r>
      <w:r w:rsidR="006645A2" w:rsidRPr="0008201E">
        <w:rPr>
          <w:b w:val="0"/>
          <w:bCs/>
          <w:szCs w:val="24"/>
        </w:rPr>
        <w:t>___</w:t>
      </w:r>
      <w:r w:rsidR="002629C4" w:rsidRPr="0008201E">
        <w:rPr>
          <w:b w:val="0"/>
          <w:bCs/>
          <w:szCs w:val="24"/>
        </w:rPr>
        <w:t>-</w:t>
      </w:r>
      <w:r w:rsidR="002629C4">
        <w:rPr>
          <w:szCs w:val="24"/>
        </w:rPr>
        <w:t>lī/2.8-3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-pv/2.6,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3107C823"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RN-2024-</w:t>
      </w:r>
      <w:r w:rsidR="005B1B2C">
        <w:rPr>
          <w:rFonts w:ascii="Times New Roman" w:hAnsi="Times New Roman"/>
        </w:rPr>
        <w:t>____</w:t>
      </w:r>
      <w:r w:rsidR="00E013EF" w:rsidRPr="00E013EF">
        <w:rPr>
          <w:rFonts w:ascii="Times New Roman" w:hAnsi="Times New Roman"/>
        </w:rPr>
        <w:t>-lī/2.8-2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2024</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0ACB35EE"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290D44">
        <w:rPr>
          <w:i/>
          <w:w w:val="101"/>
        </w:rPr>
        <w:t>Torņa ielā 4, Rīgā,</w:t>
      </w:r>
      <w:r w:rsidR="4C57CBA2" w:rsidRPr="0CE5AE1F">
        <w:rPr>
          <w:rFonts w:ascii="Times New Roman" w:hAnsi="Times New Roman"/>
          <w:i/>
          <w:iCs/>
          <w:color w:val="FF0000"/>
          <w:w w:val="101"/>
        </w:rPr>
        <w:t xml:space="preserve"> </w:t>
      </w:r>
      <w:permEnd w:id="7"/>
      <w:r w:rsidRPr="0CE5AE1F">
        <w:rPr>
          <w:rFonts w:ascii="Times New Roman" w:hAnsi="Times New Roman"/>
          <w:w w:val="101"/>
        </w:rPr>
        <w:t xml:space="preserve">(kadastra </w:t>
      </w:r>
      <w:permStart w:id="8" w:edGrp="everyone"/>
      <w:r w:rsidR="00290D44">
        <w:rPr>
          <w:rFonts w:ascii="Times New Roman" w:hAnsi="Times New Roman"/>
          <w:w w:val="101"/>
        </w:rPr>
        <w:t>numurs</w:t>
      </w:r>
      <w:r w:rsidRPr="0CE5AE1F">
        <w:rPr>
          <w:rFonts w:ascii="Times New Roman" w:hAnsi="Times New Roman"/>
          <w:w w:val="101"/>
        </w:rPr>
        <w:t xml:space="preserve"> </w:t>
      </w:r>
      <w:r w:rsidR="00290D44">
        <w:rPr>
          <w:rFonts w:ascii="Times New Roman" w:hAnsi="Times New Roman"/>
          <w:w w:val="101"/>
        </w:rPr>
        <w:t>0100 009 0065</w:t>
      </w:r>
      <w:r w:rsidRPr="0CE5AE1F">
        <w:rPr>
          <w:rFonts w:ascii="Times New Roman" w:hAnsi="Times New Roman"/>
          <w:w w:val="101"/>
        </w:rPr>
        <w:t xml:space="preserve">) (turpmāk kopā – Īpašums) </w:t>
      </w:r>
      <w:permEnd w:id="8"/>
      <w:r w:rsidRPr="0CE5AE1F">
        <w:rPr>
          <w:rFonts w:ascii="Times New Roman" w:hAnsi="Times New Roman"/>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 xml:space="preserve">otāju </w:t>
      </w:r>
      <w:r w:rsidR="575A3094" w:rsidRPr="0CE5AE1F">
        <w:rPr>
          <w:rFonts w:ascii="Times New Roman" w:hAnsi="Times New Roman"/>
        </w:rPr>
        <w:lastRenderedPageBreak/>
        <w:t>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t>N</w:t>
      </w:r>
      <w:r w:rsidR="47D64FC2" w:rsidRPr="0CE5AE1F">
        <w:rPr>
          <w:rFonts w:ascii="Times New Roman" w:hAnsi="Times New Roman"/>
          <w:b/>
          <w:bCs/>
          <w:w w:val="101"/>
        </w:rPr>
        <w:t>orēķinu kārtība</w:t>
      </w:r>
    </w:p>
    <w:p w14:paraId="2AEAC374" w14:textId="4DFBAE93" w:rsidR="003222C4" w:rsidRDefault="005738D2" w:rsidP="0CE5AE1F">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Pr>
          <w:rFonts w:ascii="Times New Roman" w:hAnsi="Times New Roman"/>
          <w:w w:val="101"/>
        </w:rPr>
        <w:t xml:space="preserve">apsekošanas </w:t>
      </w:r>
      <w:r w:rsidR="00D91BB9" w:rsidRPr="00D91BB9">
        <w:rPr>
          <w:rFonts w:ascii="Times New Roman" w:hAnsi="Times New Roman"/>
          <w:w w:val="101"/>
        </w:rPr>
        <w:t>akt</w:t>
      </w:r>
      <w:r w:rsidR="00D91BB9">
        <w:rPr>
          <w:rFonts w:ascii="Times New Roman" w:hAnsi="Times New Roman"/>
          <w:w w:val="101"/>
        </w:rPr>
        <w:t>a abpusējas parakstīšanas</w:t>
      </w:r>
      <w:r w:rsidR="3EC79882" w:rsidRPr="0CE5AE1F">
        <w:rPr>
          <w:rFonts w:ascii="Times New Roman" w:hAnsi="Times New Roman"/>
          <w:w w:val="101"/>
        </w:rPr>
        <w:t xml:space="preserve"> dienas</w:t>
      </w:r>
      <w:r w:rsidR="00CF4170">
        <w:rPr>
          <w:rFonts w:ascii="Times New Roman" w:hAnsi="Times New Roman"/>
          <w:w w:val="101"/>
        </w:rPr>
        <w:t>,</w:t>
      </w:r>
      <w:r w:rsidR="3EC79882" w:rsidRPr="0CE5AE1F">
        <w:rPr>
          <w:rFonts w:ascii="Times New Roman" w:hAnsi="Times New Roman"/>
          <w:w w:val="101"/>
        </w:rPr>
        <w:t xml:space="preserve"> </w:t>
      </w:r>
      <w:r w:rsidR="2D4F6A90" w:rsidRPr="0CE5AE1F">
        <w:rPr>
          <w:rFonts w:ascii="Times New Roman" w:hAnsi="Times New Roman"/>
          <w:w w:val="101"/>
        </w:rPr>
        <w:t xml:space="preserve">maksā </w:t>
      </w:r>
      <w:r w:rsidRPr="0CE5AE1F">
        <w:rPr>
          <w:rFonts w:ascii="Times New Roman" w:hAnsi="Times New Roman"/>
          <w:w w:val="101"/>
        </w:rPr>
        <w:t>Izpildītājam</w:t>
      </w:r>
      <w:r w:rsidR="00483AF0">
        <w:rPr>
          <w:rFonts w:ascii="Times New Roman" w:hAnsi="Times New Roman"/>
          <w:w w:val="101"/>
        </w:rPr>
        <w:t xml:space="preserve"> </w:t>
      </w:r>
      <w:r w:rsidR="35227422" w:rsidRPr="0CE5AE1F">
        <w:rPr>
          <w:rFonts w:ascii="Times New Roman" w:hAnsi="Times New Roman"/>
          <w:w w:val="101"/>
        </w:rPr>
        <w:t>m</w:t>
      </w:r>
      <w:r w:rsidR="29D73666" w:rsidRPr="0CE5AE1F">
        <w:rPr>
          <w:rFonts w:ascii="Times New Roman" w:hAnsi="Times New Roman"/>
          <w:w w:val="101"/>
        </w:rPr>
        <w:t>aksu</w:t>
      </w:r>
      <w:r w:rsidR="55B6723B" w:rsidRPr="0CE5AE1F">
        <w:rPr>
          <w:rFonts w:ascii="Times New Roman" w:hAnsi="Times New Roman"/>
          <w:w w:val="101"/>
        </w:rPr>
        <w:t xml:space="preserve"> </w:t>
      </w:r>
      <w:r w:rsidR="1018229B" w:rsidRPr="0CE5AE1F">
        <w:rPr>
          <w:rFonts w:ascii="Times New Roman" w:hAnsi="Times New Roman"/>
          <w:w w:val="101"/>
        </w:rPr>
        <w:t>pa</w:t>
      </w:r>
      <w:r w:rsidR="70F55BA4" w:rsidRPr="0CE5AE1F">
        <w:rPr>
          <w:rFonts w:ascii="Times New Roman" w:hAnsi="Times New Roman"/>
          <w:w w:val="101"/>
        </w:rPr>
        <w:t xml:space="preserve">r Īpašuma apsaimniekošanas </w:t>
      </w:r>
      <w:r w:rsidR="0DE02279" w:rsidRPr="0CE5AE1F">
        <w:rPr>
          <w:rFonts w:ascii="Times New Roman" w:hAnsi="Times New Roman"/>
          <w:w w:val="101"/>
        </w:rPr>
        <w:t xml:space="preserve">pakalpojumu </w:t>
      </w:r>
      <w:r w:rsidR="1018229B" w:rsidRPr="0CE5AE1F">
        <w:rPr>
          <w:rFonts w:ascii="Times New Roman" w:hAnsi="Times New Roman"/>
          <w:w w:val="101"/>
        </w:rPr>
        <w:t xml:space="preserve">programmu </w:t>
      </w:r>
      <w:r w:rsidR="39323568" w:rsidRPr="0CE5AE1F">
        <w:rPr>
          <w:rFonts w:ascii="Times New Roman" w:hAnsi="Times New Roman"/>
          <w:b/>
          <w:bCs/>
          <w:w w:val="101"/>
        </w:rPr>
        <w:t xml:space="preserve"> </w:t>
      </w:r>
      <w:permStart w:id="10" w:edGrp="everyone"/>
      <w:r w:rsidR="00290D44">
        <w:rPr>
          <w:rFonts w:ascii="Times New Roman" w:hAnsi="Times New Roman"/>
          <w:b/>
          <w:bCs/>
          <w:w w:val="101"/>
        </w:rPr>
        <w:t>1,28</w:t>
      </w:r>
      <w:r w:rsidR="55B6723B" w:rsidRPr="0CE5AE1F">
        <w:rPr>
          <w:rFonts w:ascii="Times New Roman" w:hAnsi="Times New Roman"/>
          <w:b/>
          <w:bCs/>
          <w:w w:val="101"/>
        </w:rPr>
        <w:t xml:space="preserve"> </w:t>
      </w:r>
      <w:r w:rsidR="5E192EF5" w:rsidRPr="0CE5AE1F">
        <w:rPr>
          <w:rFonts w:ascii="Times New Roman" w:hAnsi="Times New Roman"/>
          <w:b/>
          <w:bCs/>
          <w:w w:val="101"/>
        </w:rPr>
        <w:t xml:space="preserve">EUR </w:t>
      </w:r>
      <w:r w:rsidR="39323568" w:rsidRPr="0CE5AE1F">
        <w:rPr>
          <w:rFonts w:ascii="Times New Roman" w:hAnsi="Times New Roman"/>
          <w:w w:val="101"/>
        </w:rPr>
        <w:t>(</w:t>
      </w:r>
      <w:r w:rsidR="00290D44">
        <w:rPr>
          <w:rFonts w:ascii="Times New Roman" w:hAnsi="Times New Roman"/>
          <w:w w:val="101"/>
        </w:rPr>
        <w:t>viens</w:t>
      </w:r>
      <w:r w:rsidR="55B6723B" w:rsidRPr="0CE5AE1F">
        <w:rPr>
          <w:rFonts w:ascii="Times New Roman" w:hAnsi="Times New Roman"/>
          <w:w w:val="101"/>
        </w:rPr>
        <w:t xml:space="preserve"> </w:t>
      </w:r>
      <w:r w:rsidR="55B6723B" w:rsidRPr="0CE5AE1F">
        <w:rPr>
          <w:rFonts w:ascii="Times New Roman" w:hAnsi="Times New Roman"/>
          <w:i/>
          <w:iCs/>
          <w:w w:val="101"/>
        </w:rPr>
        <w:t xml:space="preserve">euro </w:t>
      </w:r>
      <w:r w:rsidR="39323568" w:rsidRPr="0CE5AE1F">
        <w:rPr>
          <w:rFonts w:ascii="Times New Roman" w:hAnsi="Times New Roman"/>
          <w:w w:val="101"/>
        </w:rPr>
        <w:t xml:space="preserve">un </w:t>
      </w:r>
      <w:r w:rsidR="00290D44">
        <w:rPr>
          <w:rFonts w:ascii="Times New Roman" w:hAnsi="Times New Roman"/>
          <w:w w:val="101"/>
        </w:rPr>
        <w:t>28</w:t>
      </w:r>
      <w:r w:rsidR="39323568" w:rsidRPr="0CE5AE1F">
        <w:rPr>
          <w:rFonts w:ascii="Times New Roman" w:hAnsi="Times New Roman"/>
          <w:w w:val="101"/>
        </w:rPr>
        <w:t xml:space="preserve"> cent</w:t>
      </w:r>
      <w:r w:rsidR="651CD3BC" w:rsidRPr="0CE5AE1F">
        <w:rPr>
          <w:rFonts w:ascii="Times New Roman" w:hAnsi="Times New Roman"/>
          <w:w w:val="101"/>
        </w:rPr>
        <w:t>i</w:t>
      </w:r>
      <w:r w:rsidR="55B6723B" w:rsidRPr="0CE5AE1F">
        <w:rPr>
          <w:rFonts w:ascii="Times New Roman" w:hAnsi="Times New Roman"/>
          <w:w w:val="101"/>
        </w:rPr>
        <w:t>)</w:t>
      </w:r>
      <w:permEnd w:id="10"/>
      <w:r w:rsidR="55B6723B" w:rsidRPr="0CE5AE1F">
        <w:rPr>
          <w:rFonts w:ascii="Times New Roman" w:hAnsi="Times New Roman"/>
          <w:w w:val="101"/>
        </w:rPr>
        <w:t xml:space="preserve"> par vienu </w:t>
      </w:r>
      <w:r w:rsidR="3EE96A6A" w:rsidRPr="0CE5AE1F">
        <w:rPr>
          <w:rFonts w:ascii="Times New Roman" w:hAnsi="Times New Roman"/>
          <w:w w:val="101"/>
        </w:rPr>
        <w:t>nomāto t</w:t>
      </w:r>
      <w:r w:rsidR="55B6723B" w:rsidRPr="0CE5AE1F">
        <w:rPr>
          <w:rFonts w:ascii="Times New Roman" w:hAnsi="Times New Roman"/>
          <w:w w:val="101"/>
        </w:rPr>
        <w:t>elpu kopējās platības kvadrātmetru,</w:t>
      </w:r>
      <w:r w:rsidR="55B6723B" w:rsidRPr="0CE5AE1F">
        <w:rPr>
          <w:rFonts w:ascii="Times New Roman" w:hAnsi="Times New Roman"/>
          <w:b/>
          <w:bCs/>
          <w:w w:val="101"/>
        </w:rPr>
        <w:t xml:space="preserve"> </w:t>
      </w:r>
      <w:r w:rsidR="55B6723B" w:rsidRPr="0CE5AE1F">
        <w:rPr>
          <w:rFonts w:ascii="Times New Roman" w:hAnsi="Times New Roman"/>
          <w:w w:val="101"/>
        </w:rPr>
        <w:t xml:space="preserve">t.i. </w:t>
      </w:r>
      <w:permStart w:id="11" w:edGrp="everyone"/>
      <w:r w:rsidR="00290D44">
        <w:rPr>
          <w:rFonts w:ascii="Times New Roman" w:hAnsi="Times New Roman"/>
          <w:b/>
          <w:bCs/>
          <w:w w:val="101"/>
        </w:rPr>
        <w:t>1</w:t>
      </w:r>
      <w:r w:rsidR="00576698">
        <w:rPr>
          <w:rFonts w:ascii="Times New Roman" w:hAnsi="Times New Roman"/>
          <w:b/>
          <w:bCs/>
          <w:w w:val="101"/>
        </w:rPr>
        <w:t>55</w:t>
      </w:r>
      <w:r w:rsidR="00290D44">
        <w:rPr>
          <w:rFonts w:ascii="Times New Roman" w:hAnsi="Times New Roman"/>
          <w:b/>
          <w:bCs/>
          <w:w w:val="101"/>
        </w:rPr>
        <w:t>,</w:t>
      </w:r>
      <w:r w:rsidR="00576698">
        <w:rPr>
          <w:rFonts w:ascii="Times New Roman" w:hAnsi="Times New Roman"/>
          <w:b/>
          <w:bCs/>
          <w:w w:val="101"/>
        </w:rPr>
        <w:t>87</w:t>
      </w:r>
      <w:r w:rsidR="5E192EF5" w:rsidRPr="0CE5AE1F">
        <w:rPr>
          <w:rFonts w:ascii="Times New Roman" w:hAnsi="Times New Roman"/>
          <w:b/>
          <w:bCs/>
          <w:w w:val="101"/>
        </w:rPr>
        <w:t> EUR</w:t>
      </w:r>
      <w:r w:rsidR="651CD3BC" w:rsidRPr="0CE5AE1F">
        <w:rPr>
          <w:rFonts w:ascii="Times New Roman" w:hAnsi="Times New Roman"/>
          <w:b/>
          <w:bCs/>
          <w:w w:val="101"/>
        </w:rPr>
        <w:t xml:space="preserve"> </w:t>
      </w:r>
      <w:r w:rsidR="651CD3BC" w:rsidRPr="0CE5AE1F">
        <w:rPr>
          <w:rFonts w:ascii="Times New Roman" w:hAnsi="Times New Roman"/>
          <w:w w:val="101"/>
        </w:rPr>
        <w:t>(</w:t>
      </w:r>
      <w:r w:rsidR="009570F3">
        <w:rPr>
          <w:rFonts w:ascii="Times New Roman" w:hAnsi="Times New Roman"/>
          <w:w w:val="101"/>
        </w:rPr>
        <w:t xml:space="preserve">viens simts </w:t>
      </w:r>
      <w:r w:rsidR="00576698">
        <w:rPr>
          <w:rFonts w:ascii="Times New Roman" w:hAnsi="Times New Roman"/>
          <w:w w:val="101"/>
        </w:rPr>
        <w:t>piecdesmit</w:t>
      </w:r>
      <w:r w:rsidR="00A4372D">
        <w:rPr>
          <w:rFonts w:ascii="Times New Roman" w:hAnsi="Times New Roman"/>
          <w:w w:val="101"/>
        </w:rPr>
        <w:t xml:space="preserve"> </w:t>
      </w:r>
      <w:r w:rsidR="00576698">
        <w:rPr>
          <w:rFonts w:ascii="Times New Roman" w:hAnsi="Times New Roman"/>
          <w:w w:val="101"/>
        </w:rPr>
        <w:t>pieci</w:t>
      </w:r>
      <w:r w:rsidR="651CD3BC" w:rsidRPr="0CE5AE1F">
        <w:rPr>
          <w:rFonts w:ascii="Times New Roman" w:hAnsi="Times New Roman"/>
          <w:w w:val="101"/>
        </w:rPr>
        <w:t xml:space="preserve"> </w:t>
      </w:r>
      <w:r w:rsidR="651CD3BC" w:rsidRPr="0CE5AE1F">
        <w:rPr>
          <w:rFonts w:ascii="Times New Roman" w:hAnsi="Times New Roman"/>
          <w:i/>
          <w:iCs/>
          <w:w w:val="101"/>
        </w:rPr>
        <w:t xml:space="preserve">euro </w:t>
      </w:r>
      <w:r w:rsidR="651CD3BC" w:rsidRPr="0CE5AE1F">
        <w:rPr>
          <w:rFonts w:ascii="Times New Roman" w:hAnsi="Times New Roman"/>
          <w:w w:val="101"/>
        </w:rPr>
        <w:t xml:space="preserve">un </w:t>
      </w:r>
      <w:r w:rsidR="00576698">
        <w:rPr>
          <w:rFonts w:ascii="Times New Roman" w:hAnsi="Times New Roman"/>
          <w:w w:val="101"/>
        </w:rPr>
        <w:t>87</w:t>
      </w:r>
      <w:r w:rsidR="651CD3BC" w:rsidRPr="0CE5AE1F">
        <w:rPr>
          <w:rFonts w:ascii="Times New Roman" w:hAnsi="Times New Roman"/>
          <w:w w:val="101"/>
        </w:rPr>
        <w:t xml:space="preserve"> centi)</w:t>
      </w:r>
      <w:permEnd w:id="11"/>
      <w:r w:rsidR="651CD3BC" w:rsidRPr="0CE5AE1F">
        <w:rPr>
          <w:rFonts w:ascii="Times New Roman" w:hAnsi="Times New Roman"/>
          <w:w w:val="101"/>
        </w:rPr>
        <w:t xml:space="preserve"> </w:t>
      </w:r>
      <w:r w:rsidR="55B6723B" w:rsidRPr="0CE5AE1F">
        <w:rPr>
          <w:rFonts w:ascii="Times New Roman" w:hAnsi="Times New Roman"/>
          <w:w w:val="101"/>
        </w:rPr>
        <w:t xml:space="preserve">mēnesī par visu iznomāto </w:t>
      </w:r>
      <w:r w:rsidR="3EE96A6A" w:rsidRPr="0CE5AE1F">
        <w:rPr>
          <w:rFonts w:ascii="Times New Roman" w:hAnsi="Times New Roman"/>
          <w:w w:val="101"/>
        </w:rPr>
        <w:t>t</w:t>
      </w:r>
      <w:r w:rsidR="55B6723B" w:rsidRPr="0CE5AE1F">
        <w:rPr>
          <w:rFonts w:ascii="Times New Roman" w:hAnsi="Times New Roman"/>
          <w:w w:val="101"/>
        </w:rPr>
        <w:t>elpu</w:t>
      </w:r>
      <w:r w:rsidR="69A9A262" w:rsidRPr="0CE5AE1F">
        <w:rPr>
          <w:rFonts w:ascii="Times New Roman" w:hAnsi="Times New Roman"/>
          <w:w w:val="101"/>
        </w:rPr>
        <w:t xml:space="preserve"> platību</w:t>
      </w:r>
      <w:r w:rsidR="55B6723B" w:rsidRPr="0CE5AE1F">
        <w:rPr>
          <w:rFonts w:ascii="Times New Roman" w:hAnsi="Times New Roman"/>
          <w:w w:val="101"/>
        </w:rPr>
        <w:t>, papildus maksājot pievienotās vērtības nodokli normatīvajos aktos noteiktajā apmērā.</w:t>
      </w:r>
    </w:p>
    <w:p w14:paraId="3FD1A9CB" w14:textId="67560AAA" w:rsidR="00EE4690" w:rsidRPr="00A54AA5" w:rsidRDefault="005738D2" w:rsidP="00EE4690">
      <w:pPr>
        <w:ind w:left="567"/>
        <w:jc w:val="both"/>
        <w:rPr>
          <w:rFonts w:ascii="Times New Roman" w:hAnsi="Times New Roman"/>
          <w:w w:val="101"/>
        </w:rPr>
      </w:pPr>
      <w:r>
        <w:t>.</w:t>
      </w:r>
    </w:p>
    <w:p w14:paraId="10A25351" w14:textId="467ECB58"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un </w:t>
      </w:r>
      <w:r w:rsidRPr="00FC3987">
        <w:rPr>
          <w:color w:val="000000" w:themeColor="text1"/>
        </w:rPr>
        <w:t xml:space="preserve">Īpašuma apsaimniekošanas programma 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lastRenderedPageBreak/>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lastRenderedPageBreak/>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1BEAEEA2"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xml:space="preserve">) lapām un parakstīts elektroniski. </w:t>
      </w:r>
      <w:r w:rsidRPr="00F34BF0">
        <w:rPr>
          <w:rFonts w:ascii="Times New Roman" w:hAnsi="Times New Roman"/>
        </w:rPr>
        <w:t>Līguma noslēgšanas brīdī tam ir pievienots</w:t>
      </w:r>
      <w:r w:rsidRPr="00F34BF0">
        <w:rPr>
          <w:rFonts w:ascii="Times New Roman" w:hAnsi="Times New Roman"/>
          <w:w w:val="101"/>
        </w:rPr>
        <w:t xml:space="preserve"> pielikums </w:t>
      </w:r>
      <w:r w:rsidR="009870DB" w:rsidRPr="00F34BF0">
        <w:rPr>
          <w:rFonts w:ascii="Times New Roman" w:hAnsi="Times New Roman"/>
          <w:w w:val="101"/>
        </w:rPr>
        <w:t>“</w:t>
      </w:r>
      <w:r w:rsidRPr="00F34BF0">
        <w:rPr>
          <w:rFonts w:ascii="Times New Roman" w:hAnsi="Times New Roman"/>
          <w:w w:val="101"/>
        </w:rPr>
        <w:t xml:space="preserve">Apsaimniekošanas pakalpojumu programma” uz </w:t>
      </w:r>
      <w:r w:rsidR="00F34BF0" w:rsidRPr="00F34BF0">
        <w:rPr>
          <w:rFonts w:ascii="Times New Roman" w:hAnsi="Times New Roman"/>
          <w:w w:val="101"/>
        </w:rPr>
        <w:t>1</w:t>
      </w:r>
      <w:r w:rsidRPr="00F34BF0">
        <w:rPr>
          <w:rFonts w:ascii="Times New Roman" w:hAnsi="Times New Roman"/>
          <w:w w:val="101"/>
        </w:rPr>
        <w:t xml:space="preserve"> (</w:t>
      </w:r>
      <w:r w:rsidR="00F34BF0" w:rsidRPr="00F34BF0">
        <w:rPr>
          <w:rFonts w:ascii="Times New Roman" w:hAnsi="Times New Roman"/>
          <w:w w:val="101"/>
        </w:rPr>
        <w:t>vienas</w:t>
      </w:r>
      <w:r w:rsidRPr="00F34BF0">
        <w:rPr>
          <w:rFonts w:ascii="Times New Roman" w:hAnsi="Times New Roman"/>
          <w:w w:val="101"/>
        </w:rPr>
        <w:t>) lapas</w:t>
      </w:r>
      <w:r w:rsidR="27B11DE2" w:rsidRPr="00F34BF0">
        <w:rPr>
          <w:rFonts w:ascii="Times New Roman" w:hAnsi="Times New Roman"/>
          <w:w w:val="101"/>
        </w:rPr>
        <w:t>.</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PVN maks. reģ.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lastRenderedPageBreak/>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reģ.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lastRenderedPageBreak/>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Pr="00106488" w:rsidRDefault="00D61104"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9383" w14:textId="77777777" w:rsidR="005738D2" w:rsidRDefault="005738D2">
      <w:r>
        <w:separator/>
      </w:r>
    </w:p>
  </w:endnote>
  <w:endnote w:type="continuationSeparator" w:id="0">
    <w:p w14:paraId="4020CE26" w14:textId="77777777" w:rsidR="005738D2" w:rsidRDefault="005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49E9C648" w:rsidR="00763001" w:rsidRPr="00763001" w:rsidRDefault="005738D2"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ACCD" w14:textId="77777777" w:rsidR="005738D2" w:rsidRDefault="005738D2">
      <w:r>
        <w:separator/>
      </w:r>
    </w:p>
  </w:footnote>
  <w:footnote w:type="continuationSeparator" w:id="0">
    <w:p w14:paraId="2FFD35C9" w14:textId="77777777" w:rsidR="005738D2" w:rsidRDefault="0057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235B"/>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6698"/>
    <w:rsid w:val="00577766"/>
    <w:rsid w:val="00580297"/>
    <w:rsid w:val="00580E90"/>
    <w:rsid w:val="00583ED7"/>
    <w:rsid w:val="00593270"/>
    <w:rsid w:val="005972E3"/>
    <w:rsid w:val="005A0224"/>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95130"/>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72D"/>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7A70"/>
    <w:rsid w:val="00F07E83"/>
    <w:rsid w:val="00F10CA8"/>
    <w:rsid w:val="00F14C91"/>
    <w:rsid w:val="00F15875"/>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2.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3.xml><?xml version="1.0" encoding="utf-8"?>
<ds:datastoreItem xmlns:ds="http://schemas.openxmlformats.org/officeDocument/2006/customXml" ds:itemID="{337B986D-F597-40DE-84E7-558C894CF0F0}">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6068f11-f062-45e2-a878-4a671483d8d7"/>
    <ds:schemaRef ds:uri="e2a0ae1b-38fe-4d06-938b-1c057db74025"/>
    <ds:schemaRef ds:uri="9cd53344-39df-4916-8e5c-82a35e11da6e"/>
    <ds:schemaRef ds:uri="7a20ab46-c009-4b20-8da5-a7fde1bb2d57"/>
  </ds:schemaRefs>
</ds:datastoreItem>
</file>

<file path=customXml/itemProps4.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1847</Words>
  <Characters>12793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Agnese Strautiņa</cp:lastModifiedBy>
  <cp:revision>17</cp:revision>
  <cp:lastPrinted>2018-11-21T11:02:00Z</cp:lastPrinted>
  <dcterms:created xsi:type="dcterms:W3CDTF">2024-02-23T12:19:00Z</dcterms:created>
  <dcterms:modified xsi:type="dcterms:W3CDTF">2024-06-04T10:14:00Z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